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Look w:val="01E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9E5977" w:rsidRPr="00607E86" w:rsidRDefault="009A2F8D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</w:t>
            </w:r>
            <w:r w:rsidR="00C04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</w:t>
            </w:r>
            <w:r w:rsidR="009E5977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E5977" w:rsidRPr="005E1D33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Долгоаршинных</w:t>
            </w:r>
            <w:proofErr w:type="spellEnd"/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</w:p>
          <w:p w:rsidR="009E5977" w:rsidRPr="005E1D33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5C0160" w:rsidRPr="003D1CCA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на </w:t>
      </w:r>
      <w:r w:rsidR="00CF1B8A">
        <w:rPr>
          <w:rFonts w:ascii="Times New Roman" w:hAnsi="Times New Roman" w:cs="Times New Roman"/>
          <w:b/>
          <w:sz w:val="24"/>
          <w:szCs w:val="24"/>
        </w:rPr>
        <w:t xml:space="preserve">оказание услуг по эксплуатационно-техническому обслуживанию технических средств </w:t>
      </w:r>
      <w:r w:rsidR="009B26AF">
        <w:rPr>
          <w:rFonts w:ascii="Times New Roman" w:hAnsi="Times New Roman" w:cs="Times New Roman"/>
          <w:b/>
          <w:sz w:val="24"/>
          <w:szCs w:val="24"/>
        </w:rPr>
        <w:t xml:space="preserve">телерадиовещания, </w:t>
      </w:r>
      <w:proofErr w:type="spellStart"/>
      <w:r w:rsidR="009B26AF">
        <w:rPr>
          <w:rFonts w:ascii="Times New Roman" w:hAnsi="Times New Roman" w:cs="Times New Roman"/>
          <w:b/>
          <w:sz w:val="24"/>
          <w:szCs w:val="24"/>
        </w:rPr>
        <w:t>энергоснабжающего</w:t>
      </w:r>
      <w:proofErr w:type="spellEnd"/>
      <w:r w:rsidR="009B26AF">
        <w:rPr>
          <w:rFonts w:ascii="Times New Roman" w:hAnsi="Times New Roman" w:cs="Times New Roman"/>
          <w:b/>
          <w:sz w:val="24"/>
          <w:szCs w:val="24"/>
        </w:rPr>
        <w:t xml:space="preserve"> оборудования и антенно-мачтовых сооружений</w:t>
      </w:r>
      <w:r w:rsidR="008A63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833"/>
      </w:tblGrid>
      <w:tr w:rsidR="00607E86" w:rsidRPr="009B26AF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Место нахождения: </w:t>
            </w:r>
            <w:permStart w:id="0" w:edGrp="everyone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450000, Республика </w:t>
            </w:r>
            <w:permEnd w:id="0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9A60AD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тел. + 7 (347)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1C3EEC" w:rsidRPr="009A60A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C0160" w:rsidRPr="009B26AF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B26A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5C0160" w:rsidRPr="009B26AF" w:rsidRDefault="009B26AF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9B26A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Токтаев Вячеслав Иванович</w:t>
            </w:r>
          </w:p>
          <w:p w:rsidR="00607E86" w:rsidRPr="009B26AF" w:rsidRDefault="005C0160" w:rsidP="00DE02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9B26A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9B26A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. + 7 (347) 221-</w:t>
            </w:r>
            <w:r w:rsidR="009B26AF" w:rsidRPr="009B26A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54-8</w:t>
            </w:r>
            <w:r w:rsidR="00DE0262" w:rsidRPr="009B26A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8</w:t>
            </w:r>
            <w:r w:rsidR="00DC0B97" w:rsidRPr="009B26A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,</w:t>
            </w:r>
            <w:r w:rsidRPr="009B26A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e-mail:</w:t>
            </w:r>
            <w:r w:rsidR="00DC0B97" w:rsidRPr="009B26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7" w:history="1">
              <w:r w:rsidR="009B26AF" w:rsidRPr="009B26A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v.toktaev@bashtel.ru</w:t>
              </w:r>
            </w:hyperlink>
            <w:r w:rsidR="009B26AF" w:rsidRPr="009B26AF">
              <w:rPr>
                <w:lang w:val="en-US"/>
              </w:rPr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DB7D8D" w:rsidRDefault="00DB7D8D" w:rsidP="00DB7D8D">
            <w:pPr>
              <w:pStyle w:val="ConsPlusNormal"/>
              <w:jc w:val="both"/>
            </w:pPr>
            <w:r>
              <w:t>Участниками закупки могут являться любые лица, в том числе субъекты малого и среднего предпринимательства</w:t>
            </w:r>
          </w:p>
          <w:p w:rsidR="001C3EEC" w:rsidRPr="002566DC" w:rsidRDefault="001C3EEC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0160" w:rsidRPr="00607E86" w:rsidTr="00F33C54">
        <w:trPr>
          <w:trHeight w:val="557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3D1CCA" w:rsidRDefault="009B26AF" w:rsidP="006E0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Оказание услуг по эксплуатационно-техническому обслуживанию технических средств телерадиовещания,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энергоснабжающего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оборудования и антенно-мачтовых сооружений</w:t>
            </w:r>
            <w:r w:rsidR="00DC0B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C0160" w:rsidRPr="003D1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C0160" w:rsidRPr="003D1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0160" w:rsidRPr="002E65AF" w:rsidRDefault="005C0160" w:rsidP="00607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8A6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Состав,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06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 (Приложение</w:t>
            </w:r>
            <w:r w:rsidR="00002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</w:t>
            </w:r>
            <w:r w:rsid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 </w:t>
            </w:r>
            <w:r w:rsidR="00002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закупке)</w:t>
            </w:r>
            <w:r w:rsidR="0006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условиями договора (Приложение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2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5C0160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5C0160" w:rsidRPr="00126191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Требования 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оказываемым услугам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2E65AF" w:rsidRDefault="005C0160" w:rsidP="00607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0B4857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="000B4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B4857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</w:t>
            </w:r>
            <w:r w:rsid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 </w:t>
            </w:r>
            <w:r w:rsidR="000B485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="000B4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4857" w:rsidRPr="000B4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DC0B97" w:rsidRPr="000B4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</w:t>
            </w:r>
            <w:r w:rsidR="000B4857" w:rsidRPr="000B4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ое</w:t>
            </w:r>
            <w:r w:rsidR="00DC0B97" w:rsidRPr="000B4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задание</w:t>
            </w:r>
            <w:r w:rsidR="000B4857" w:rsidRPr="000B4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0B4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условиями договора (Приложение № 2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5C0160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607497" w:rsidRDefault="005C0160" w:rsidP="006E0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оказания </w:t>
            </w:r>
            <w:r w:rsidRPr="002E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услуг: </w:t>
            </w:r>
            <w:r w:rsidR="00DE0262" w:rsidRPr="002E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Адреса </w:t>
            </w:r>
            <w:r w:rsidR="00002D6F" w:rsidRP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</w:t>
            </w:r>
            <w:r w:rsidR="00DE0262" w:rsidRP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указаны в</w:t>
            </w:r>
            <w:r w:rsidR="000B4857" w:rsidRP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Приложении №1.</w:t>
            </w:r>
            <w:r w:rsidR="00607497" w:rsidRP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B4857" w:rsidRP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Документации о закупке</w:t>
            </w:r>
            <w:r w:rsidR="00DE0262" w:rsidRP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4857" w:rsidRP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07497" w:rsidRPr="0060749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Адреса оказания услуг по эксплуатационно-техническому обслуживанию</w:t>
            </w:r>
            <w:r w:rsidR="000B4857" w:rsidRP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C04692" w:rsidRP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5220" w:rsidRPr="002E65AF" w:rsidRDefault="002E327B" w:rsidP="00607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6074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оказания Услуг по Договору:  </w:t>
            </w:r>
            <w:proofErr w:type="gramStart"/>
            <w:r w:rsidRPr="006074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6074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даты</w:t>
            </w:r>
            <w:r w:rsidRPr="006074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подписания</w:t>
            </w:r>
            <w:proofErr w:type="gramEnd"/>
            <w:r w:rsidRPr="006074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Договора в течение </w:t>
            </w:r>
            <w:r w:rsidR="00607497" w:rsidRPr="006074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(одного)</w:t>
            </w:r>
            <w:r w:rsidR="006074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6074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607497" w:rsidRPr="0060749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Срок начала предоставления услуг определяется </w:t>
            </w:r>
            <w:proofErr w:type="gramStart"/>
            <w:r w:rsidR="00607497" w:rsidRPr="0060749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 даты подписания</w:t>
            </w:r>
            <w:proofErr w:type="gramEnd"/>
            <w:r w:rsidR="00607497" w:rsidRPr="0060749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Сторонами Договора и Акта приема-передачи Оборудования на эксплуатационно-техническое обслуживание</w:t>
            </w:r>
            <w:r w:rsidR="00AF5220" w:rsidRPr="006074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741613" w:rsidRPr="00741613" w:rsidRDefault="00741613" w:rsidP="00741613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41613"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Начальная (максимальная) цена договора составляет:</w:t>
            </w:r>
          </w:p>
          <w:p w:rsidR="00741613" w:rsidRPr="00741613" w:rsidRDefault="00607497" w:rsidP="0074161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44 036 000,00</w:t>
            </w:r>
            <w:r w:rsidR="00741613" w:rsidRPr="007416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(</w:t>
            </w:r>
            <w:r w:rsidR="00DB7D8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Сорок четыре миллиона тридцать шесть</w:t>
            </w:r>
            <w:r w:rsidR="00741613" w:rsidRPr="007416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тысяч) рублей 00 коп</w:t>
            </w:r>
            <w:proofErr w:type="gramStart"/>
            <w:r w:rsidR="00741613" w:rsidRPr="007416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.</w:t>
            </w:r>
            <w:proofErr w:type="gramEnd"/>
            <w:r w:rsidR="00741613" w:rsidRPr="007416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proofErr w:type="gramStart"/>
            <w:r w:rsidR="00741613" w:rsidRPr="007416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б</w:t>
            </w:r>
            <w:proofErr w:type="gramEnd"/>
            <w:r w:rsidR="00741613" w:rsidRPr="007416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ез НДС, кроме того сумма НДС (18%)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7 926 480,00</w:t>
            </w:r>
            <w:r w:rsidR="00741613" w:rsidRPr="007416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рублей.</w:t>
            </w:r>
          </w:p>
          <w:p w:rsidR="00741613" w:rsidRPr="00741613" w:rsidRDefault="00741613" w:rsidP="0074161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74161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договора с учетом НДС (18%) составляет </w:t>
            </w:r>
            <w:r w:rsidR="0060749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51 962 480,00</w:t>
            </w:r>
            <w:r w:rsidRPr="007416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(</w:t>
            </w:r>
            <w:r w:rsidR="0060749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Пятьдесят один миллион девятьсот шестьдесят</w:t>
            </w:r>
            <w:r w:rsidR="00FF6FE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две</w:t>
            </w:r>
            <w:r w:rsidRPr="007416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тысяч</w:t>
            </w:r>
            <w:r w:rsidR="00FF6FE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и </w:t>
            </w:r>
            <w:r w:rsidR="00DB7D8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четыреста восемьдесят</w:t>
            </w:r>
            <w:r w:rsidRPr="007416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) рублей 00 коп.</w:t>
            </w:r>
          </w:p>
          <w:p w:rsidR="00BF4AD1" w:rsidRPr="00D22335" w:rsidRDefault="00BF4AD1" w:rsidP="0074161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</w:tc>
      </w:tr>
      <w:tr w:rsidR="00C81DBE" w:rsidRPr="00607E86" w:rsidTr="00594524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7416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C81DBE" w:rsidRPr="00D22335" w:rsidRDefault="00FF3BB5" w:rsidP="00C81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335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C81DBE" w:rsidRPr="00ED04E9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B7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A06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</w:t>
            </w:r>
            <w:r w:rsidR="00DB7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A06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024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ED04E9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1DBE" w:rsidRPr="00607E86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C81DBE" w:rsidRPr="00607E86" w:rsidRDefault="00C81DBE" w:rsidP="00DB7D8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B7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D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F3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FD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</w:pPr>
          </w:p>
          <w:p w:rsidR="00C81DBE" w:rsidRPr="00ED04E9" w:rsidRDefault="00C81DBE" w:rsidP="00DB7D8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DB7D8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</w:t>
            </w:r>
            <w:r w:rsidR="00FD1BC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9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F33C5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июля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 w:rsidR="005C016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 w:rsidR="00FD1BC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ED0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DBE" w:rsidRPr="00607E86" w:rsidTr="00ED04E9">
        <w:trPr>
          <w:trHeight w:val="2731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DB7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7D8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DB7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DB7D8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DB7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DB7D8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августа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16"/>
                <w:szCs w:val="16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5A0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Возможность </w:t>
            </w:r>
            <w:r w:rsidR="005A0E1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отменить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закупк</w:t>
            </w:r>
            <w:r w:rsidR="005A0E1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5A0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5A0E1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отменить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</w:t>
            </w:r>
            <w:r w:rsidR="005A0E1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591F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единой информационной системе в сфере закупок </w:t>
            </w:r>
            <w:hyperlink r:id="rId9" w:history="1"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1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26641C" w:rsidRDefault="0026641C" w:rsidP="00ED04E9"/>
    <w:sectPr w:rsidR="0026641C" w:rsidSect="008A2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0"/>
  <w:defaultTabStop w:val="708"/>
  <w:characterSpacingControl w:val="doNotCompress"/>
  <w:compat/>
  <w:rsids>
    <w:rsidRoot w:val="00607E86"/>
    <w:rsid w:val="00002D6F"/>
    <w:rsid w:val="000245D5"/>
    <w:rsid w:val="00045AD9"/>
    <w:rsid w:val="000605FD"/>
    <w:rsid w:val="00064D23"/>
    <w:rsid w:val="000A47FA"/>
    <w:rsid w:val="000B4857"/>
    <w:rsid w:val="000C7580"/>
    <w:rsid w:val="000D0E91"/>
    <w:rsid w:val="00100979"/>
    <w:rsid w:val="00103419"/>
    <w:rsid w:val="00110097"/>
    <w:rsid w:val="0011595B"/>
    <w:rsid w:val="001162C9"/>
    <w:rsid w:val="00126191"/>
    <w:rsid w:val="001332A3"/>
    <w:rsid w:val="0015110A"/>
    <w:rsid w:val="00170DD7"/>
    <w:rsid w:val="001A37C5"/>
    <w:rsid w:val="001A3D9B"/>
    <w:rsid w:val="001C3EEC"/>
    <w:rsid w:val="001E22F4"/>
    <w:rsid w:val="0021443F"/>
    <w:rsid w:val="002553AB"/>
    <w:rsid w:val="002566DC"/>
    <w:rsid w:val="002658E2"/>
    <w:rsid w:val="0026641C"/>
    <w:rsid w:val="00272E4E"/>
    <w:rsid w:val="002E327B"/>
    <w:rsid w:val="00330977"/>
    <w:rsid w:val="00334AD9"/>
    <w:rsid w:val="0033565C"/>
    <w:rsid w:val="00335BC3"/>
    <w:rsid w:val="00361341"/>
    <w:rsid w:val="003A36B4"/>
    <w:rsid w:val="003D52C2"/>
    <w:rsid w:val="00412B66"/>
    <w:rsid w:val="00442DD9"/>
    <w:rsid w:val="00451040"/>
    <w:rsid w:val="00470522"/>
    <w:rsid w:val="004B3D05"/>
    <w:rsid w:val="004E5671"/>
    <w:rsid w:val="00513E62"/>
    <w:rsid w:val="005456CF"/>
    <w:rsid w:val="0055437F"/>
    <w:rsid w:val="00591FA2"/>
    <w:rsid w:val="005A0E14"/>
    <w:rsid w:val="005C0160"/>
    <w:rsid w:val="005F482B"/>
    <w:rsid w:val="00607497"/>
    <w:rsid w:val="00607E86"/>
    <w:rsid w:val="006558F0"/>
    <w:rsid w:val="00672877"/>
    <w:rsid w:val="006B3C2C"/>
    <w:rsid w:val="006F4DBB"/>
    <w:rsid w:val="007059A7"/>
    <w:rsid w:val="0070748B"/>
    <w:rsid w:val="00721447"/>
    <w:rsid w:val="00741613"/>
    <w:rsid w:val="00747742"/>
    <w:rsid w:val="00777794"/>
    <w:rsid w:val="00787936"/>
    <w:rsid w:val="007A2FD6"/>
    <w:rsid w:val="007A404F"/>
    <w:rsid w:val="007B4679"/>
    <w:rsid w:val="00807E77"/>
    <w:rsid w:val="00820069"/>
    <w:rsid w:val="008364AF"/>
    <w:rsid w:val="0088486B"/>
    <w:rsid w:val="00895141"/>
    <w:rsid w:val="008A08B1"/>
    <w:rsid w:val="008A23C7"/>
    <w:rsid w:val="008A6393"/>
    <w:rsid w:val="008D10F8"/>
    <w:rsid w:val="008D6ABB"/>
    <w:rsid w:val="008F64EF"/>
    <w:rsid w:val="009174A6"/>
    <w:rsid w:val="0092335F"/>
    <w:rsid w:val="00970C0B"/>
    <w:rsid w:val="009A2F8D"/>
    <w:rsid w:val="009A388E"/>
    <w:rsid w:val="009A60AD"/>
    <w:rsid w:val="009B26AF"/>
    <w:rsid w:val="009D1F69"/>
    <w:rsid w:val="009E028D"/>
    <w:rsid w:val="009E5977"/>
    <w:rsid w:val="00A0202E"/>
    <w:rsid w:val="00A06EE9"/>
    <w:rsid w:val="00A2144F"/>
    <w:rsid w:val="00A35C78"/>
    <w:rsid w:val="00A644F2"/>
    <w:rsid w:val="00A71AC6"/>
    <w:rsid w:val="00AD448B"/>
    <w:rsid w:val="00AF5220"/>
    <w:rsid w:val="00B23ED2"/>
    <w:rsid w:val="00B24CE4"/>
    <w:rsid w:val="00BE2DAA"/>
    <w:rsid w:val="00BF1CDE"/>
    <w:rsid w:val="00BF3B3E"/>
    <w:rsid w:val="00BF4AD1"/>
    <w:rsid w:val="00C04692"/>
    <w:rsid w:val="00C0473F"/>
    <w:rsid w:val="00C20A04"/>
    <w:rsid w:val="00C2602C"/>
    <w:rsid w:val="00C30C34"/>
    <w:rsid w:val="00C81DBE"/>
    <w:rsid w:val="00CC57D9"/>
    <w:rsid w:val="00CC721C"/>
    <w:rsid w:val="00CF1B8A"/>
    <w:rsid w:val="00D22335"/>
    <w:rsid w:val="00D63A7B"/>
    <w:rsid w:val="00D82B6D"/>
    <w:rsid w:val="00DB60D7"/>
    <w:rsid w:val="00DB7D8D"/>
    <w:rsid w:val="00DC0B97"/>
    <w:rsid w:val="00DE0262"/>
    <w:rsid w:val="00DE5967"/>
    <w:rsid w:val="00E3611D"/>
    <w:rsid w:val="00E43FEA"/>
    <w:rsid w:val="00E50E92"/>
    <w:rsid w:val="00E61607"/>
    <w:rsid w:val="00EC2E27"/>
    <w:rsid w:val="00EC3C9E"/>
    <w:rsid w:val="00ED04E9"/>
    <w:rsid w:val="00EF3336"/>
    <w:rsid w:val="00F11990"/>
    <w:rsid w:val="00F33C54"/>
    <w:rsid w:val="00F75461"/>
    <w:rsid w:val="00F863BA"/>
    <w:rsid w:val="00F9678A"/>
    <w:rsid w:val="00FB6C99"/>
    <w:rsid w:val="00FC20A7"/>
    <w:rsid w:val="00FD1BC3"/>
    <w:rsid w:val="00FE5383"/>
    <w:rsid w:val="00FF27C2"/>
    <w:rsid w:val="00FF3BB5"/>
    <w:rsid w:val="00FF6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3C7"/>
  </w:style>
  <w:style w:type="paragraph" w:styleId="4">
    <w:name w:val="heading 4"/>
    <w:basedOn w:val="a"/>
    <w:next w:val="a"/>
    <w:link w:val="40"/>
    <w:uiPriority w:val="9"/>
    <w:qFormat/>
    <w:rsid w:val="00412B6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12B6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customStyle="1" w:styleId="ConsPlusNormal">
    <w:name w:val="ConsPlusNormal"/>
    <w:rsid w:val="00DB7D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qFormat/>
    <w:rsid w:val="00412B6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12B6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v.toktaev@bashte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zakupki.gov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9314A-885B-40EA-8BF0-DD38D1C8F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</TotalTime>
  <Pages>3</Pages>
  <Words>875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30</cp:revision>
  <cp:lastPrinted>2016-05-13T07:28:00Z</cp:lastPrinted>
  <dcterms:created xsi:type="dcterms:W3CDTF">2015-10-13T08:33:00Z</dcterms:created>
  <dcterms:modified xsi:type="dcterms:W3CDTF">2016-07-07T09:51:00Z</dcterms:modified>
</cp:coreProperties>
</file>